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>
      <w:pPr/>
      <w:r>
        <w:rPr>
          <w:rFonts w:ascii="Calibri" w:hAnsi="Calibri" w:eastAsia="Calibri" w:cs="Calibri"/>
          <w:sz w:val="22"/>
          <w:szCs w:val="22"/>
          <w:b/>
          <w:bCs/>
        </w:rPr>
        <w:t xml:space="preserve">Be-Line® recessed shower pack</w:t>
      </w:r>
    </w:p>
    <w:p>
      <w:pPr/>
      <w:r>
        <w:rPr>
          <w:rFonts w:ascii="Calibri" w:hAnsi="Calibri" w:eastAsia="Calibri" w:cs="Calibri"/>
          <w:sz w:val="22"/>
          <w:szCs w:val="22"/>
        </w:rPr>
        <w:t xml:space="preserve">DOC M pack</w:t>
      </w:r>
    </w:p>
    <w:p>
      <w:pPr/>
      <w:r>
        <w:rPr>
          <w:rFonts w:ascii="Calibri" w:hAnsi="Calibri" w:eastAsia="Calibri" w:cs="Calibri"/>
          <w:sz w:val="22"/>
          <w:szCs w:val="22"/>
        </w:rPr>
        <w:t xml:space="preserve">Metallised anthracite powder-coated aluminium</w:t>
      </w:r>
    </w:p>
    <w:p/>
    <w:p>
      <w:pPr/>
      <w:r>
        <w:rPr>
          <w:rFonts w:ascii="Calibri" w:hAnsi="Calibri" w:eastAsia="Calibri" w:cs="Calibri"/>
          <w:sz w:val="22"/>
          <w:szCs w:val="22"/>
        </w:rPr>
        <w:t xml:space="preserve">Reference: </w:t>
      </w:r>
      <w:r>
        <w:rPr>
          <w:rFonts w:ascii="Calibri" w:hAnsi="Calibri" w:eastAsia="Calibri" w:cs="Calibri"/>
          <w:color w:val="0088bc"/>
          <w:sz w:val="22"/>
          <w:szCs w:val="22"/>
          <w:b/>
          <w:bCs/>
        </w:rPr>
        <w:t xml:space="preserve">511MREC1</w:t>
      </w:r>
    </w:p>
    <w:p/>
    <w:p/>
    <w:p>
      <w:pPr>
        <w:spacing w:line="336" w:lineRule="auto"/>
      </w:pPr>
      <w:r>
        <w:rPr>
          <w:rFonts w:ascii="Calibri" w:hAnsi="Calibri" w:eastAsia="Calibri" w:cs="Calibri"/>
          <w:sz w:val="22"/>
          <w:szCs w:val="22"/>
          <w:u w:val="single"/>
        </w:rPr>
        <w:t xml:space="preserve">Specification description</w:t>
      </w:r>
    </w:p>
    <w:p/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Metallised anthracite powder-coated aluminium DOC M recessed shower pack. 19 items: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2 Drop-down support rails, length 850mm.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3 Grab bars, with ergonomic flat front face, length 600mm.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3 Grab bars, with ergonomic flat front face, length 450mm.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1 Lift-up shower seat.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1 Backrest, depth 150mm.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1 aluminium finish coat hook.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1 SECURITHERM single lever sequential thermostatic recessed shower mixer with angled outlet.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1 Chrome-plated TONIC JET shower head, tamperproof and scale-resistant, with automatic flow rate regulator set at 6 lpm.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1 Recessed diverter valve.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1 Multi-mode shower kit with 1 single jet shower head, 1 sliding soap dish for riser rails, 1 sliding shower head holder and 1 flexible shower hose.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1 Grab bar for use as shower riser rail, length 600mm.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• 1 Shower hose retaining collar: retains shower hose correctly.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30-year warranty.</w:t>
      </w:r>
    </w:p>
    <w:p>
      <w:pPr>
        <w:spacing w:line="288" w:lineRule="auto"/>
      </w:pPr>
      <w:r>
        <w:rPr>
          <w:rFonts w:ascii="Calibri" w:hAnsi="Calibri" w:eastAsia="Calibri" w:cs="Calibri"/>
          <w:sz w:val="22"/>
          <w:szCs w:val="22"/>
        </w:rPr>
        <w:t xml:space="preserve">CE marked.</w:t>
      </w:r>
    </w:p>
    <w:sectPr>
      <w:headerReference w:type="default" r:id="rId7"/>
      <w:pgSz w:orient="portrait" w:w="11905.511811023622" w:h="16837.79527559055"/>
      <w:pgMar w:top="1200" w:right="1500" w:bottom="1000" w:left="145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pict>
        <v:shape type="#_x0000_t75" style="width:115pt; height:18.662280701754pt; margin-left:0pt; margin-top:0pt; mso-position-horizontal:left; mso-position-vertical:absolute; mso-position-horizontal-relative:char; mso-position-vertical-relative:line;">
          <w10:wrap type="inline"/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rPr>
      <w:color w:val="438fac"/>
      <w:sz w:val="36"/>
      <w:szCs w:val="36"/>
      <w:b/>
      <w:bCs/>
    </w:rPr>
  </w:style>
  <w:style w:type="paragraph" w:styleId="Heading2">
    <w:link w:val="Heading2Char"/>
    <w:name w:val="heading 2"/>
    <w:rPr>
      <w:color w:val="222222"/>
      <w:sz w:val="32"/>
      <w:szCs w:val="32"/>
      <w:b/>
      <w:bCs/>
    </w:rPr>
  </w:style>
  <w:style w:type="paragraph" w:styleId="Heading3">
    <w:link w:val="Heading3Char"/>
    <w:name w:val="heading 3"/>
    <w:rPr>
      <w:color w:val="222222"/>
      <w:sz w:val="28"/>
      <w:szCs w:val="28"/>
    </w:rPr>
  </w:style>
  <w:style w:type="paragraph" w:styleId="Heading4">
    <w:link w:val="Heading4Char"/>
    <w:name w:val="heading 4"/>
    <w:rPr>
      <w:color w:val="438fac"/>
      <w:sz w:val="26"/>
      <w:szCs w:val="26"/>
      <w:b/>
      <w:bCs/>
    </w:rPr>
  </w:style>
  <w:style w:type="paragraph" w:styleId="Heading5">
    <w:link w:val="Heading5Char"/>
    <w:name w:val="heading 5"/>
    <w:rPr>
      <w:color w:val="111111"/>
      <w:sz w:val="40"/>
      <w:szCs w:val="40"/>
      <w:b/>
      <w:bCs/>
    </w:rPr>
  </w:style>
  <w:style w:type="table" w:customStyle="1" w:styleId="TechSheet">
    <w:name w:val="TechSheet"/>
    <w:uiPriority w:val="99"/>
    <w:tblPr>
      <w:tblW w:w="0" w:type="auto"/>
      <w:tblBorders>
        <w:top w:val="single" w:sz="0" w:color="ffffff"/>
        <w:left w:val="single" w:sz="0" w:color="ffffff"/>
        <w:right w:val="single" w:sz="0" w:color="ffffff"/>
        <w:bottom w:val="single" w:sz="1" w:color="999999"/>
      </w:tblBorders>
    </w:tblPr>
  </w:style>
  <w:style w:type="paragraph" w:customStyle="1" w:styleId="pStyle">
    <w:name w:val="pStyle"/>
    <w:basedOn w:val="Normal"/>
    <w:pPr>
      <w:spacing w:line="3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2024-01-17T01:44:46+01:00</dcterms:created>
  <dcterms:modified xsi:type="dcterms:W3CDTF">2024-01-17T01:44:46+01:00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